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0118" w14:textId="24C622F0" w:rsidR="00E1607A" w:rsidRDefault="00280568">
      <w:pPr>
        <w:rPr>
          <w:u w:val="single"/>
        </w:rPr>
      </w:pPr>
      <w:r w:rsidRPr="00280568">
        <w:rPr>
          <w:u w:val="single"/>
        </w:rPr>
        <w:t>District Safeguarding Officer Report - October 2023</w:t>
      </w:r>
    </w:p>
    <w:p w14:paraId="3516D58F" w14:textId="77777777" w:rsidR="00280568" w:rsidRDefault="00280568">
      <w:pPr>
        <w:rPr>
          <w:u w:val="single"/>
        </w:rPr>
      </w:pPr>
      <w:r>
        <w:rPr>
          <w:u w:val="single"/>
        </w:rPr>
        <w:t xml:space="preserve">Workload </w:t>
      </w:r>
    </w:p>
    <w:p w14:paraId="3D66B524" w14:textId="7856CD81" w:rsidR="00280568" w:rsidRDefault="00280568">
      <w:r w:rsidRPr="00280568">
        <w:t xml:space="preserve">See review </w:t>
      </w:r>
      <w:r>
        <w:t>of cases</w:t>
      </w:r>
    </w:p>
    <w:p w14:paraId="0212222A" w14:textId="529E3368" w:rsidR="00280568" w:rsidRDefault="00280568">
      <w:pPr>
        <w:rPr>
          <w:u w:val="single"/>
        </w:rPr>
      </w:pPr>
      <w:r w:rsidRPr="00280568">
        <w:rPr>
          <w:u w:val="single"/>
        </w:rPr>
        <w:t>Legislative change and guidance/policies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C02AD" w14:paraId="0C2D85AB" w14:textId="77777777" w:rsidTr="001C02AD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5D4BB0" w14:textId="77777777" w:rsidR="001C02AD" w:rsidRDefault="001C02AD">
            <w:pPr>
              <w:pStyle w:val="Heading2"/>
              <w:spacing w:before="0" w:beforeAutospacing="0" w:after="0" w:afterAutospacing="0" w:line="450" w:lineRule="atLeas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7030A0"/>
                <w:sz w:val="30"/>
                <w:szCs w:val="30"/>
              </w:rPr>
              <w:t>Policy Updates and changes to the Policies and Guidance webpage</w:t>
            </w:r>
          </w:p>
        </w:tc>
      </w:tr>
    </w:tbl>
    <w:p w14:paraId="496DA5CC" w14:textId="77777777" w:rsidR="001C02AD" w:rsidRDefault="001C02AD" w:rsidP="001C02AD">
      <w:pPr>
        <w:pStyle w:val="xmsonormal"/>
      </w:pPr>
      <w:r>
        <w:rPr>
          <w:vanish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C02AD" w14:paraId="78C8FDD4" w14:textId="77777777" w:rsidTr="001C02AD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7E5130" w14:textId="77777777" w:rsidR="001C02AD" w:rsidRDefault="001C02AD">
            <w:pPr>
              <w:pStyle w:val="NormalWeb"/>
              <w:spacing w:after="120" w:line="315" w:lineRule="atLeast"/>
              <w:textAlignment w:val="center"/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Safeguarding Policy and Procedures for the Methodist Church in Britain July 2023.</w:t>
            </w:r>
          </w:p>
          <w:p w14:paraId="1EFD5C41" w14:textId="77777777" w:rsidR="001C02AD" w:rsidRDefault="001C02AD">
            <w:pPr>
              <w:pStyle w:val="NormalWeb"/>
              <w:spacing w:line="315" w:lineRule="atLeast"/>
            </w:pP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Following agreement at the recent Safeguarding Committee meeting, there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is a new edition of the Safeguarding policy and procedures document - Please note the changes as listed below:</w:t>
            </w:r>
          </w:p>
        </w:tc>
      </w:tr>
    </w:tbl>
    <w:p w14:paraId="51BEB483" w14:textId="77777777" w:rsidR="001C02AD" w:rsidRDefault="001C02AD" w:rsidP="001C02AD">
      <w:pPr>
        <w:pStyle w:val="xmsonormal"/>
      </w:pPr>
      <w:r>
        <w:rPr>
          <w:vanish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C02AD" w14:paraId="0E104D88" w14:textId="77777777" w:rsidTr="001C02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1FE13B" w14:textId="5A3E2FAA" w:rsidR="001C02AD" w:rsidRDefault="001C02AD">
            <w:pPr>
              <w:pStyle w:val="xmsonormal"/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6BB3DE1F" wp14:editId="10FE53BF">
                  <wp:extent cx="5730240" cy="1470660"/>
                  <wp:effectExtent l="0" t="0" r="3810" b="0"/>
                  <wp:docPr id="1029188338" name="Picture 42" descr="A close-up of a list of inform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188338" name="Picture 42" descr="A close-up of a list of inform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24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B1D9E" w14:textId="77777777" w:rsidR="001C02AD" w:rsidRDefault="001C02AD" w:rsidP="001C02AD">
      <w:pPr>
        <w:pStyle w:val="xmsonormal"/>
      </w:pPr>
      <w:r>
        <w:rPr>
          <w:vanish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C02AD" w14:paraId="34058E3B" w14:textId="77777777" w:rsidTr="001C02AD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2C0D9D" w14:textId="77777777" w:rsidR="001C02AD" w:rsidRDefault="001C02AD">
            <w:pPr>
              <w:pStyle w:val="NormalWeb"/>
              <w:spacing w:line="360" w:lineRule="auto"/>
            </w:pPr>
            <w:r>
              <w:rPr>
                <w:rFonts w:ascii="Arial" w:hAnsi="Arial" w:cs="Arial"/>
                <w:color w:val="202124"/>
                <w:sz w:val="24"/>
                <w:szCs w:val="24"/>
              </w:rPr>
              <w:t xml:space="preserve">Committee members also requested an 'Executive Summary' of the most salient sections of the policy to further aid ease of access. This </w:t>
            </w:r>
            <w:proofErr w:type="gramStart"/>
            <w:r>
              <w:rPr>
                <w:rFonts w:ascii="Arial" w:hAnsi="Arial" w:cs="Arial"/>
                <w:color w:val="202124"/>
                <w:sz w:val="24"/>
                <w:szCs w:val="24"/>
              </w:rPr>
              <w:t>10 page</w:t>
            </w:r>
            <w:proofErr w:type="gramEnd"/>
            <w:r>
              <w:rPr>
                <w:rFonts w:ascii="Arial" w:hAnsi="Arial" w:cs="Arial"/>
                <w:color w:val="202124"/>
                <w:sz w:val="24"/>
                <w:szCs w:val="24"/>
              </w:rPr>
              <w:t xml:space="preserve"> summary sets out the policy position of the Church and expected standards of behaviour while working with children, young people and vulnerable adults. </w:t>
            </w:r>
            <w:hyperlink w:anchor="x_anchor91" w:history="1">
              <w:r>
                <w:rPr>
                  <w:rStyle w:val="Hyperlink"/>
                  <w:rFonts w:ascii="Arial" w:hAnsi="Arial" w:cs="Arial"/>
                  <w:color w:val="7030A0"/>
                  <w:sz w:val="24"/>
                  <w:szCs w:val="24"/>
                </w:rPr>
                <w:t>Executive summary</w:t>
              </w:r>
            </w:hyperlink>
          </w:p>
          <w:p w14:paraId="7D132A5B" w14:textId="77777777" w:rsidR="001C02AD" w:rsidRDefault="001C02AD">
            <w:pPr>
              <w:pStyle w:val="NormalWeb"/>
              <w:spacing w:after="120" w:line="360" w:lineRule="auto"/>
              <w:textAlignment w:val="center"/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Guidance for LEPs </w:t>
            </w:r>
          </w:p>
          <w:p w14:paraId="634CDB98" w14:textId="77777777" w:rsidR="001C02AD" w:rsidRDefault="001C02AD">
            <w:pPr>
              <w:pStyle w:val="NormalWeb"/>
              <w:spacing w:after="120" w:line="360" w:lineRule="auto"/>
              <w:textAlignment w:val="center"/>
            </w:pPr>
            <w:r>
              <w:rPr>
                <w:rFonts w:ascii="Arial" w:hAnsi="Arial" w:cs="Arial"/>
                <w:color w:val="202124"/>
                <w:sz w:val="24"/>
                <w:szCs w:val="24"/>
              </w:rPr>
              <w:t>The Committee approved the new guidance for LEPs, which is now available on the website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hyperlink r:id="rId6" w:tooltip="LEP Guidance" w:history="1">
              <w:r>
                <w:rPr>
                  <w:rStyle w:val="Hyperlink"/>
                  <w:rFonts w:ascii="Arial" w:hAnsi="Arial" w:cs="Arial"/>
                  <w:color w:val="0029FF"/>
                  <w:sz w:val="24"/>
                  <w:szCs w:val="24"/>
                </w:rPr>
                <w:t>Safeguarding Guidance for Local Ecumenical Partnerships (LEPs-July 2023</w:t>
              </w:r>
            </w:hyperlink>
          </w:p>
          <w:p w14:paraId="16913DD9" w14:textId="77777777" w:rsidR="001C02AD" w:rsidRDefault="001C02AD">
            <w:pPr>
              <w:pStyle w:val="NormalWeb"/>
              <w:spacing w:after="120" w:line="360" w:lineRule="auto"/>
              <w:textAlignment w:val="center"/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Additions to the policy and guidance page:</w:t>
            </w:r>
          </w:p>
          <w:p w14:paraId="5CFE6953" w14:textId="77777777" w:rsidR="001C02AD" w:rsidRDefault="001C02AD">
            <w:pPr>
              <w:pStyle w:val="NormalWeb"/>
              <w:spacing w:line="360" w:lineRule="auto"/>
            </w:pPr>
            <w:r>
              <w:rPr>
                <w:rFonts w:ascii="Arial" w:hAnsi="Arial" w:cs="Arial"/>
                <w:color w:val="202124"/>
                <w:sz w:val="24"/>
                <w:szCs w:val="24"/>
              </w:rPr>
              <w:t xml:space="preserve">The following have been added to the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7030A0"/>
                  <w:sz w:val="24"/>
                  <w:szCs w:val="24"/>
                </w:rPr>
                <w:t>Policies and guidance (methodist.org.uk)</w:t>
              </w:r>
            </w:hyperlink>
            <w:proofErr w:type="gramStart"/>
            <w:r>
              <w:rPr>
                <w:rFonts w:ascii="Arial" w:hAnsi="Arial" w:cs="Arial"/>
                <w:color w:val="7030A0"/>
                <w:sz w:val="24"/>
                <w:szCs w:val="24"/>
              </w:rPr>
              <w:t>webpage</w:t>
            </w:r>
            <w:proofErr w:type="gramEnd"/>
          </w:p>
          <w:p w14:paraId="271B7789" w14:textId="77777777" w:rsidR="001C02AD" w:rsidRDefault="001C02AD">
            <w:pPr>
              <w:pStyle w:val="NormalWeb"/>
              <w:spacing w:line="360" w:lineRule="auto"/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Arial" w:hAnsi="Arial" w:cs="Arial"/>
                <w:color w:val="202124"/>
                <w:sz w:val="24"/>
                <w:szCs w:val="24"/>
              </w:rPr>
              <w:t xml:space="preserve">Policy and Procedures for the Methodist Church in Britain July 2023 </w:t>
            </w:r>
          </w:p>
          <w:p w14:paraId="63C58933" w14:textId="77777777" w:rsidR="001C02AD" w:rsidRDefault="001C02AD">
            <w:pPr>
              <w:pStyle w:val="NormalWeb"/>
              <w:spacing w:line="360" w:lineRule="auto"/>
            </w:pPr>
            <w:r>
              <w:rPr>
                <w:rFonts w:ascii="Arial" w:hAnsi="Arial" w:cs="Arial"/>
                <w:color w:val="202124"/>
                <w:sz w:val="24"/>
                <w:szCs w:val="24"/>
              </w:rPr>
              <w:t xml:space="preserve">2)  Executive Summary </w:t>
            </w:r>
          </w:p>
          <w:p w14:paraId="2C2D5FD7" w14:textId="77777777" w:rsidR="001C02AD" w:rsidRDefault="001C02AD">
            <w:pPr>
              <w:pStyle w:val="NormalWeb"/>
              <w:spacing w:line="360" w:lineRule="auto"/>
            </w:pPr>
            <w:r>
              <w:rPr>
                <w:rFonts w:ascii="Arial" w:hAnsi="Arial" w:cs="Arial"/>
                <w:color w:val="202124"/>
                <w:sz w:val="24"/>
                <w:szCs w:val="24"/>
              </w:rPr>
              <w:t>3) Anti-Bullying policy with additional flowchart</w:t>
            </w:r>
          </w:p>
          <w:p w14:paraId="39C20622" w14:textId="731C4A4B" w:rsidR="001C02AD" w:rsidRDefault="001C02AD">
            <w:pPr>
              <w:pStyle w:val="NormalWeb"/>
              <w:spacing w:line="360" w:lineRule="auto"/>
            </w:pPr>
            <w:r>
              <w:rPr>
                <w:rFonts w:ascii="Arial" w:hAnsi="Arial" w:cs="Arial"/>
                <w:color w:val="202124"/>
                <w:sz w:val="24"/>
                <w:szCs w:val="24"/>
              </w:rPr>
              <w:t>4) LEP guidance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 </w:t>
            </w:r>
          </w:p>
          <w:p w14:paraId="6372097C" w14:textId="77777777" w:rsidR="001C02AD" w:rsidRDefault="001C02AD">
            <w:pPr>
              <w:pStyle w:val="NormalWeb"/>
              <w:spacing w:line="360" w:lineRule="auto"/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Bookmarking</w:t>
            </w:r>
          </w:p>
          <w:p w14:paraId="206BAB7A" w14:textId="1F5B0F31" w:rsidR="001C02AD" w:rsidRDefault="001C02AD">
            <w:pPr>
              <w:pStyle w:val="NormalWeb"/>
              <w:spacing w:line="360" w:lineRule="auto"/>
            </w:pPr>
            <w:r>
              <w:rPr>
                <w:rFonts w:ascii="Arial" w:hAnsi="Arial" w:cs="Arial"/>
                <w:color w:val="121212"/>
                <w:sz w:val="24"/>
                <w:szCs w:val="24"/>
              </w:rPr>
              <w:t>Some of the longer policies on the page have been bookmarked to make navigation easier. </w:t>
            </w:r>
          </w:p>
          <w:p w14:paraId="5D9E371E" w14:textId="77777777" w:rsidR="001C02AD" w:rsidRDefault="001C02AD">
            <w:pPr>
              <w:pStyle w:val="NormalWeb"/>
              <w:spacing w:line="360" w:lineRule="auto"/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Appendices</w:t>
            </w:r>
          </w:p>
          <w:p w14:paraId="19B564E6" w14:textId="77777777" w:rsidR="001C02AD" w:rsidRDefault="001C02AD">
            <w:pPr>
              <w:pStyle w:val="NormalWeb"/>
              <w:spacing w:line="360" w:lineRule="auto"/>
            </w:pPr>
            <w:r>
              <w:rPr>
                <w:rFonts w:ascii="Arial" w:hAnsi="Arial" w:cs="Arial"/>
                <w:color w:val="121212"/>
                <w:sz w:val="24"/>
                <w:szCs w:val="24"/>
              </w:rPr>
              <w:t xml:space="preserve">Some of the appendices to the main policy including the Anti-bullying policy, the LEP guidance and the Procedures for safer working practices with children have been extracted for easier reference. </w:t>
            </w:r>
          </w:p>
          <w:p w14:paraId="5EEC8DB7" w14:textId="77AE81B2" w:rsidR="001C02AD" w:rsidRDefault="001C02AD">
            <w:pPr>
              <w:pStyle w:val="NormalWeb"/>
            </w:pPr>
          </w:p>
        </w:tc>
      </w:tr>
    </w:tbl>
    <w:p w14:paraId="102296CC" w14:textId="77777777" w:rsidR="001C02AD" w:rsidRDefault="001C02AD">
      <w:pPr>
        <w:rPr>
          <w:u w:val="single"/>
        </w:rPr>
      </w:pPr>
    </w:p>
    <w:p w14:paraId="4D2C7431" w14:textId="77777777" w:rsidR="00DC4E1D" w:rsidRDefault="00DC4E1D">
      <w:pPr>
        <w:rPr>
          <w:u w:val="single"/>
        </w:rPr>
      </w:pPr>
    </w:p>
    <w:sectPr w:rsidR="00DC4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AE3"/>
    <w:multiLevelType w:val="multilevel"/>
    <w:tmpl w:val="558C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F150E0"/>
    <w:multiLevelType w:val="multilevel"/>
    <w:tmpl w:val="ABDE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6562436">
    <w:abstractNumId w:val="0"/>
  </w:num>
  <w:num w:numId="2" w16cid:durableId="1309700934">
    <w:abstractNumId w:val="1"/>
  </w:num>
  <w:num w:numId="3" w16cid:durableId="4144798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68"/>
    <w:rsid w:val="001C02AD"/>
    <w:rsid w:val="00280568"/>
    <w:rsid w:val="006E16FF"/>
    <w:rsid w:val="008E7149"/>
    <w:rsid w:val="00A3377E"/>
    <w:rsid w:val="00C0288E"/>
    <w:rsid w:val="00D7090C"/>
    <w:rsid w:val="00DC4E1D"/>
    <w:rsid w:val="00E1607A"/>
    <w:rsid w:val="00E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2EBE35"/>
  <w15:chartTrackingRefBased/>
  <w15:docId w15:val="{C94DA67F-947B-4E0F-8C3C-F9CBA89D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4E1D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C4E1D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C4E1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E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4E1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x">
    <w:name w:val="x"/>
    <w:basedOn w:val="Normal"/>
    <w:uiPriority w:val="99"/>
    <w:semiHidden/>
    <w:rsid w:val="00DC4E1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C4E1D"/>
    <w:rPr>
      <w:rFonts w:ascii="Calibri" w:hAnsi="Calibri" w:cs="Calibri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E1D"/>
    <w:rPr>
      <w:rFonts w:ascii="Calibri" w:hAnsi="Calibri" w:cs="Calibri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E1D"/>
    <w:rPr>
      <w:rFonts w:ascii="Calibri" w:hAnsi="Calibri" w:cs="Calibri"/>
      <w:b/>
      <w:bCs/>
      <w:kern w:val="0"/>
      <w:sz w:val="27"/>
      <w:szCs w:val="27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4E1D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DC4E1D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xmsonormal">
    <w:name w:val="x_msonormal"/>
    <w:basedOn w:val="Normal"/>
    <w:uiPriority w:val="99"/>
    <w:semiHidden/>
    <w:rsid w:val="00DC4E1D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xmsonormal0">
    <w:name w:val="x_msonormal0"/>
    <w:basedOn w:val="Normal"/>
    <w:uiPriority w:val="99"/>
    <w:semiHidden/>
    <w:rsid w:val="00DC4E1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xproductfield">
    <w:name w:val="x_productfield"/>
    <w:basedOn w:val="Normal"/>
    <w:uiPriority w:val="99"/>
    <w:semiHidden/>
    <w:rsid w:val="00DC4E1D"/>
    <w:pPr>
      <w:wordWrap w:val="0"/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xreadmsgbody">
    <w:name w:val="x_readmsgbody"/>
    <w:basedOn w:val="Normal"/>
    <w:uiPriority w:val="99"/>
    <w:semiHidden/>
    <w:rsid w:val="00DC4E1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xexternalclass">
    <w:name w:val="x_externalclass"/>
    <w:basedOn w:val="Normal"/>
    <w:uiPriority w:val="99"/>
    <w:semiHidden/>
    <w:rsid w:val="00DC4E1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xbutton-wrapper">
    <w:name w:val="x_button-wrapper"/>
    <w:basedOn w:val="Normal"/>
    <w:uiPriority w:val="99"/>
    <w:semiHidden/>
    <w:rsid w:val="00DC4E1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xbutton-td">
    <w:name w:val="x_button-td"/>
    <w:basedOn w:val="Normal"/>
    <w:uiPriority w:val="99"/>
    <w:semiHidden/>
    <w:rsid w:val="00DC4E1D"/>
    <w:pPr>
      <w:wordWrap w:val="0"/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xm3413915270788322663gmail-m4207325504236612420gmail-m5066986291074439805">
    <w:name w:val="x_m3413915270788322663gmail-m4207325504236612420gmail-m5066986291074439805"/>
    <w:basedOn w:val="Normal"/>
    <w:uiPriority w:val="99"/>
    <w:semiHidden/>
    <w:rsid w:val="00DC4E1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xdcr-iyhl1z">
    <w:name w:val="x_dcr-iyhl1z"/>
    <w:basedOn w:val="Normal"/>
    <w:uiPriority w:val="99"/>
    <w:semiHidden/>
    <w:rsid w:val="00DC4E1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xmsohyperlink">
    <w:name w:val="x_msohyperlink"/>
    <w:basedOn w:val="DefaultParagraphFont"/>
    <w:rsid w:val="00DC4E1D"/>
    <w:rPr>
      <w:color w:val="0000FF"/>
      <w:u w:val="single"/>
    </w:rPr>
  </w:style>
  <w:style w:type="character" w:customStyle="1" w:styleId="xmsohyperlinkfollowed">
    <w:name w:val="x_msohyperlinkfollowed"/>
    <w:basedOn w:val="DefaultParagraphFont"/>
    <w:rsid w:val="00DC4E1D"/>
    <w:rPr>
      <w:color w:val="800080"/>
      <w:u w:val="single"/>
    </w:rPr>
  </w:style>
  <w:style w:type="character" w:customStyle="1" w:styleId="xheading1char">
    <w:name w:val="x_heading1char"/>
    <w:basedOn w:val="DefaultParagraphFont"/>
    <w:rsid w:val="00DC4E1D"/>
    <w:rPr>
      <w:rFonts w:ascii="Calibri" w:hAnsi="Calibri" w:cs="Calibri" w:hint="default"/>
      <w:b/>
      <w:bCs/>
    </w:rPr>
  </w:style>
  <w:style w:type="character" w:customStyle="1" w:styleId="xheading2char">
    <w:name w:val="x_heading2char"/>
    <w:basedOn w:val="DefaultParagraphFont"/>
    <w:rsid w:val="00DC4E1D"/>
    <w:rPr>
      <w:rFonts w:ascii="Calibri" w:hAnsi="Calibri" w:cs="Calibri" w:hint="default"/>
      <w:b/>
      <w:bCs/>
    </w:rPr>
  </w:style>
  <w:style w:type="character" w:customStyle="1" w:styleId="xheading3char">
    <w:name w:val="x_heading3char"/>
    <w:basedOn w:val="DefaultParagraphFont"/>
    <w:rsid w:val="00DC4E1D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thodist-news.org.uk/BVI-8CZST-81PYH5-57OQOD-1/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hodist-news.org.uk/BVI-8CZST-81PYH5-57R14F-1/c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Lewis</dc:creator>
  <cp:keywords/>
  <dc:description/>
  <cp:lastModifiedBy>Chris Lewis</cp:lastModifiedBy>
  <cp:revision>2</cp:revision>
  <cp:lastPrinted>2023-10-04T11:07:00Z</cp:lastPrinted>
  <dcterms:created xsi:type="dcterms:W3CDTF">2023-10-04T11:24:00Z</dcterms:created>
  <dcterms:modified xsi:type="dcterms:W3CDTF">2023-10-04T11:24:00Z</dcterms:modified>
</cp:coreProperties>
</file>